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D3DDEF" w14:textId="28783551" w:rsidR="00201AC2" w:rsidRPr="00893F90" w:rsidRDefault="009E3897" w:rsidP="00201AC2">
      <w:pPr>
        <w:spacing w:after="180"/>
        <w:rPr>
          <w:b/>
          <w:sz w:val="44"/>
          <w:szCs w:val="44"/>
        </w:rPr>
      </w:pPr>
      <w:bookmarkStart w:id="0" w:name="_GoBack"/>
      <w:bookmarkEnd w:id="0"/>
      <w:r>
        <w:rPr>
          <w:b/>
          <w:sz w:val="44"/>
          <w:szCs w:val="44"/>
        </w:rPr>
        <w:t>Thinking in diagrams</w:t>
      </w:r>
    </w:p>
    <w:p w14:paraId="322A1716" w14:textId="505EBA2E" w:rsidR="00201AC2" w:rsidRDefault="00893F90" w:rsidP="00201AC2">
      <w:pPr>
        <w:spacing w:after="180"/>
      </w:pPr>
      <w:r>
        <w:t>Iron and sulfur are both elements.</w:t>
      </w:r>
    </w:p>
    <w:p w14:paraId="357B7392" w14:textId="0840997D" w:rsidR="009E3897" w:rsidRPr="00893F90" w:rsidRDefault="00893F90" w:rsidP="00201AC2">
      <w:pPr>
        <w:spacing w:after="180"/>
      </w:pPr>
      <w:r>
        <w:t>Iron reacts with sulfur</w:t>
      </w:r>
      <w:r w:rsidR="00354A39">
        <w:t xml:space="preserve">. This makes the </w:t>
      </w:r>
      <w:r>
        <w:t>compound iron sulfide.</w:t>
      </w:r>
    </w:p>
    <w:p w14:paraId="196D6CD2" w14:textId="77777777" w:rsidR="00A54D47" w:rsidRPr="00893F90" w:rsidRDefault="00A54D47" w:rsidP="00201AC2">
      <w:pPr>
        <w:spacing w:after="180"/>
      </w:pPr>
    </w:p>
    <w:p w14:paraId="73C0465C" w14:textId="23BEA149" w:rsidR="00201AC2" w:rsidRDefault="006A431E" w:rsidP="00201AC2">
      <w:pPr>
        <w:pStyle w:val="ListParagraph"/>
        <w:numPr>
          <w:ilvl w:val="0"/>
          <w:numId w:val="3"/>
        </w:numPr>
        <w:spacing w:after="180"/>
        <w:ind w:left="567" w:hanging="567"/>
        <w:contextualSpacing w:val="0"/>
      </w:pPr>
      <w:r w:rsidRPr="00893F90">
        <w:t xml:space="preserve">Draw </w:t>
      </w:r>
      <w:r w:rsidR="005C6D38">
        <w:t>a diagram to show the arrangement of atoms in</w:t>
      </w:r>
    </w:p>
    <w:p w14:paraId="633E274A" w14:textId="747ECBAD" w:rsidR="005C6D38" w:rsidRDefault="005C6D38" w:rsidP="005C6D38">
      <w:pPr>
        <w:pStyle w:val="ListParagraph"/>
        <w:numPr>
          <w:ilvl w:val="1"/>
          <w:numId w:val="3"/>
        </w:numPr>
        <w:spacing w:after="180"/>
        <w:contextualSpacing w:val="0"/>
      </w:pPr>
      <w:r>
        <w:t>iron</w:t>
      </w:r>
    </w:p>
    <w:p w14:paraId="12FD7E20" w14:textId="44F8E10F" w:rsidR="005C6D38" w:rsidRDefault="005C6D38" w:rsidP="005C6D38">
      <w:pPr>
        <w:pStyle w:val="ListParagraph"/>
        <w:numPr>
          <w:ilvl w:val="1"/>
          <w:numId w:val="3"/>
        </w:numPr>
        <w:spacing w:after="180"/>
        <w:contextualSpacing w:val="0"/>
      </w:pPr>
      <w:r>
        <w:t>sulfur</w:t>
      </w:r>
    </w:p>
    <w:p w14:paraId="6FAABCCA" w14:textId="733136A5" w:rsidR="005C6D38" w:rsidRPr="00893F90" w:rsidRDefault="005C6D38" w:rsidP="005C6D38">
      <w:pPr>
        <w:pStyle w:val="ListParagraph"/>
        <w:numPr>
          <w:ilvl w:val="1"/>
          <w:numId w:val="3"/>
        </w:numPr>
        <w:spacing w:after="180"/>
        <w:contextualSpacing w:val="0"/>
      </w:pPr>
      <w:r>
        <w:t>iron sulfide</w:t>
      </w:r>
    </w:p>
    <w:p w14:paraId="302D3ED3" w14:textId="3EE8CCE3" w:rsidR="00201AC2" w:rsidRPr="00201AC2" w:rsidRDefault="00201AC2" w:rsidP="006F3279">
      <w:pPr>
        <w:spacing w:after="240"/>
        <w:rPr>
          <w:szCs w:val="18"/>
        </w:rPr>
      </w:pPr>
    </w:p>
    <w:p w14:paraId="52CFF234" w14:textId="77777777"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14:paraId="0E8B8EA8" w14:textId="25B089D9"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A54D47">
        <w:rPr>
          <w:i/>
          <w:sz w:val="18"/>
          <w:szCs w:val="18"/>
        </w:rPr>
        <w:t>CPS: Particles and structure</w:t>
      </w:r>
      <w:r w:rsidR="0007651D">
        <w:rPr>
          <w:i/>
          <w:sz w:val="18"/>
          <w:szCs w:val="18"/>
        </w:rPr>
        <w:t xml:space="preserve"> &gt; Topic </w:t>
      </w:r>
      <w:r w:rsidR="00A54D47">
        <w:rPr>
          <w:i/>
          <w:sz w:val="18"/>
          <w:szCs w:val="18"/>
        </w:rPr>
        <w:t>CPS3: Chemical change</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A54D47">
        <w:rPr>
          <w:i/>
          <w:sz w:val="18"/>
          <w:szCs w:val="18"/>
        </w:rPr>
        <w:t>CPS3.1: Rearrangement of atoms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000642D0" w14:textId="77777777" w:rsidTr="00323334">
        <w:tc>
          <w:tcPr>
            <w:tcW w:w="12021" w:type="dxa"/>
            <w:shd w:val="clear" w:color="auto" w:fill="FABF8F" w:themeFill="accent6" w:themeFillTint="99"/>
          </w:tcPr>
          <w:p w14:paraId="1AEC8DBD"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5CF03AFF" w14:textId="77777777" w:rsidTr="00323334">
        <w:tc>
          <w:tcPr>
            <w:tcW w:w="12021" w:type="dxa"/>
            <w:shd w:val="clear" w:color="auto" w:fill="FBD4B4" w:themeFill="accent6" w:themeFillTint="66"/>
          </w:tcPr>
          <w:p w14:paraId="0B3DCD0E" w14:textId="4A7B93DA" w:rsidR="006F3279" w:rsidRPr="00CA4B46" w:rsidRDefault="00A02D2E" w:rsidP="006F3279">
            <w:pPr>
              <w:spacing w:after="60"/>
              <w:ind w:left="1304"/>
              <w:rPr>
                <w:b/>
                <w:sz w:val="40"/>
                <w:szCs w:val="40"/>
              </w:rPr>
            </w:pPr>
            <w:r>
              <w:rPr>
                <w:b/>
                <w:sz w:val="40"/>
                <w:szCs w:val="40"/>
              </w:rPr>
              <w:t>Thinking in diagrams</w:t>
            </w:r>
          </w:p>
        </w:tc>
      </w:tr>
    </w:tbl>
    <w:p w14:paraId="071436E1" w14:textId="77777777" w:rsidR="006F3279" w:rsidRDefault="006F3279" w:rsidP="00E172C6">
      <w:pPr>
        <w:spacing w:after="180"/>
        <w:rPr>
          <w:b/>
        </w:rPr>
      </w:pPr>
    </w:p>
    <w:p w14:paraId="2D8A08C4"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299D8076" w14:textId="77777777" w:rsidTr="003F16F9">
        <w:trPr>
          <w:trHeight w:val="340"/>
        </w:trPr>
        <w:tc>
          <w:tcPr>
            <w:tcW w:w="2196" w:type="dxa"/>
          </w:tcPr>
          <w:p w14:paraId="237F156E" w14:textId="77777777" w:rsidR="00FA5B3A" w:rsidRDefault="00FA5B3A" w:rsidP="00FA5B3A">
            <w:pPr>
              <w:spacing w:before="60" w:after="60"/>
            </w:pPr>
            <w:r>
              <w:t>Learning focus:</w:t>
            </w:r>
          </w:p>
        </w:tc>
        <w:tc>
          <w:tcPr>
            <w:tcW w:w="6820" w:type="dxa"/>
          </w:tcPr>
          <w:p w14:paraId="5D65E8B6" w14:textId="6971ED07" w:rsidR="00FA5B3A" w:rsidRPr="00A54D47" w:rsidRDefault="00A54D47" w:rsidP="00FA5B3A">
            <w:pPr>
              <w:spacing w:before="60" w:after="60"/>
            </w:pPr>
            <w:r w:rsidRPr="00A54D47">
              <w:t>During a chemical reaction, atoms are rearranged and a new substance (or substances) are formed</w:t>
            </w:r>
            <w:r w:rsidR="00F814C3">
              <w:t xml:space="preserve"> with different properties.</w:t>
            </w:r>
          </w:p>
        </w:tc>
      </w:tr>
      <w:tr w:rsidR="00FA5B3A" w14:paraId="00E11DB2" w14:textId="77777777" w:rsidTr="003F16F9">
        <w:trPr>
          <w:trHeight w:val="340"/>
        </w:trPr>
        <w:tc>
          <w:tcPr>
            <w:tcW w:w="2196" w:type="dxa"/>
          </w:tcPr>
          <w:p w14:paraId="1A55E964" w14:textId="77777777" w:rsidR="00FA5B3A" w:rsidRDefault="00FA5B3A" w:rsidP="00FA5B3A">
            <w:pPr>
              <w:spacing w:before="60" w:after="60"/>
            </w:pPr>
            <w:r>
              <w:t>Observable learning outcome:</w:t>
            </w:r>
          </w:p>
        </w:tc>
        <w:tc>
          <w:tcPr>
            <w:tcW w:w="6820" w:type="dxa"/>
          </w:tcPr>
          <w:p w14:paraId="6CE74F7B" w14:textId="2BCF9E9E" w:rsidR="00FA5B3A" w:rsidRPr="00A54D47" w:rsidRDefault="00354A39" w:rsidP="00FA5B3A">
            <w:pPr>
              <w:spacing w:before="60" w:after="60"/>
              <w:rPr>
                <w:b/>
              </w:rPr>
            </w:pPr>
            <w:r>
              <w:t>Use particle diagrams to represent the reactants and products of a reaction between elements.</w:t>
            </w:r>
          </w:p>
        </w:tc>
      </w:tr>
      <w:tr w:rsidR="00FA5B3A" w14:paraId="04BA270A" w14:textId="77777777" w:rsidTr="003F16F9">
        <w:trPr>
          <w:trHeight w:val="340"/>
        </w:trPr>
        <w:tc>
          <w:tcPr>
            <w:tcW w:w="2196" w:type="dxa"/>
          </w:tcPr>
          <w:p w14:paraId="573CDA74" w14:textId="77777777" w:rsidR="00FA5B3A" w:rsidRDefault="007F5D5D" w:rsidP="00FA5B3A">
            <w:pPr>
              <w:spacing w:before="60" w:after="60"/>
            </w:pPr>
            <w:r>
              <w:t>Question</w:t>
            </w:r>
            <w:r w:rsidR="00FA5B3A">
              <w:t xml:space="preserve"> type:</w:t>
            </w:r>
          </w:p>
        </w:tc>
        <w:tc>
          <w:tcPr>
            <w:tcW w:w="6820" w:type="dxa"/>
          </w:tcPr>
          <w:p w14:paraId="54957519" w14:textId="1EE8E3BB" w:rsidR="00FA5B3A" w:rsidRPr="00F326D4" w:rsidRDefault="00354A39" w:rsidP="00FA5B3A">
            <w:pPr>
              <w:spacing w:before="60" w:after="60"/>
            </w:pPr>
            <w:r>
              <w:t>d</w:t>
            </w:r>
            <w:r w:rsidR="00F326D4" w:rsidRPr="00F326D4">
              <w:t>rawing diagram</w:t>
            </w:r>
          </w:p>
        </w:tc>
      </w:tr>
      <w:tr w:rsidR="00FA5B3A" w14:paraId="00BEF0B3" w14:textId="77777777" w:rsidTr="003F16F9">
        <w:trPr>
          <w:trHeight w:val="340"/>
        </w:trPr>
        <w:tc>
          <w:tcPr>
            <w:tcW w:w="2196" w:type="dxa"/>
          </w:tcPr>
          <w:p w14:paraId="74784DC5" w14:textId="77777777" w:rsidR="00FA5B3A" w:rsidRPr="00F326D4" w:rsidRDefault="00FA5B3A" w:rsidP="00FA5B3A">
            <w:pPr>
              <w:spacing w:before="60" w:after="60"/>
            </w:pPr>
            <w:r w:rsidRPr="00F326D4">
              <w:t>Key words:</w:t>
            </w:r>
          </w:p>
        </w:tc>
        <w:tc>
          <w:tcPr>
            <w:tcW w:w="6820" w:type="dxa"/>
            <w:tcBorders>
              <w:bottom w:val="dotted" w:sz="4" w:space="0" w:color="auto"/>
            </w:tcBorders>
          </w:tcPr>
          <w:p w14:paraId="464C8609" w14:textId="60619556" w:rsidR="00FA5B3A" w:rsidRPr="00F326D4" w:rsidRDefault="00F326D4" w:rsidP="00FA5B3A">
            <w:pPr>
              <w:spacing w:before="60" w:after="60"/>
            </w:pPr>
            <w:r w:rsidRPr="00F326D4">
              <w:t>element, compound, reaction</w:t>
            </w:r>
          </w:p>
        </w:tc>
      </w:tr>
    </w:tbl>
    <w:p w14:paraId="4490BCDB" w14:textId="77777777" w:rsidR="00F72ECC" w:rsidRDefault="00F72ECC" w:rsidP="00F72ECC"/>
    <w:p w14:paraId="7FA9FDC3"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37792ABC" w14:textId="774F4ACB" w:rsidR="00C05571" w:rsidRDefault="00F326D4" w:rsidP="0050055B">
      <w:pPr>
        <w:spacing w:after="180"/>
      </w:pPr>
      <w:r w:rsidRPr="00F326D4">
        <w:t xml:space="preserve">Research </w:t>
      </w:r>
      <w:r w:rsidRPr="00F326D4">
        <w:fldChar w:fldCharType="begin"/>
      </w:r>
      <w:r w:rsidRPr="00F326D4">
        <w:instrText xml:space="preserve"> ADDIN EN.CITE &lt;EndNote&gt;&lt;Cite&gt;&lt;Author&gt;Kern&lt;/Author&gt;&lt;Year&gt;2010&lt;/Year&gt;&lt;IDText&gt;A qualitative report of the ways high school chemistry students attempt to represent a chemical reaction at the atomic/molecular level.&lt;/IDText&gt;&lt;DisplayText&gt;(Kern et al., 2010)&lt;/DisplayText&gt;&lt;record&gt;&lt;titles&gt;&lt;title&gt;A qualitative report of the ways high school chemistry students attempt to represent a chemical reaction at the atomic/molecular level.&lt;/title&gt;&lt;secondary-title&gt;Chemistry Education Research and Practice&lt;/secondary-title&gt;&lt;/titles&gt;&lt;pages&gt;165-172&lt;/pages&gt;&lt;contributors&gt;&lt;authors&gt;&lt;author&gt;Kern, Anne L.&lt;/author&gt;&lt;author&gt;Wood, Nathan B.&lt;/author&gt;&lt;author&gt;Roehrig, Gillian H.&lt;/author&gt;&lt;author&gt;Nyachwaya, James&lt;/author&gt;&lt;/authors&gt;&lt;/contributors&gt;&lt;added-date format="utc"&gt;1536664431&lt;/added-date&gt;&lt;ref-type name="Journal Article"&gt;17&lt;/ref-type&gt;&lt;dates&gt;&lt;year&gt;2010&lt;/year&gt;&lt;/dates&gt;&lt;rec-number&gt;20&lt;/rec-number&gt;&lt;last-updated-date format="utc"&gt;1536664551&lt;/last-updated-date&gt;&lt;volume&gt;11&lt;/volume&gt;&lt;/record&gt;&lt;/Cite&gt;&lt;/EndNote&gt;</w:instrText>
      </w:r>
      <w:r w:rsidRPr="00F326D4">
        <w:fldChar w:fldCharType="separate"/>
      </w:r>
      <w:r w:rsidRPr="00F326D4">
        <w:rPr>
          <w:noProof/>
        </w:rPr>
        <w:t>(Kern et al., 2010)</w:t>
      </w:r>
      <w:r w:rsidRPr="00F326D4">
        <w:fldChar w:fldCharType="end"/>
      </w:r>
      <w:r w:rsidRPr="00F326D4">
        <w:t xml:space="preserve"> found that whilst over half (65%) of </w:t>
      </w:r>
      <w:r w:rsidR="00F814C3">
        <w:t xml:space="preserve">the more than one thousand U.S. </w:t>
      </w:r>
      <w:r w:rsidRPr="00F326D4">
        <w:t xml:space="preserve">high school students  who took part in the study </w:t>
      </w:r>
      <w:r>
        <w:t>could correctly balance the given chemical equation, less than half (31%) could provide an adequate particle representation.</w:t>
      </w:r>
    </w:p>
    <w:p w14:paraId="7CA6BED1" w14:textId="79F0B0DE" w:rsidR="00F326D4" w:rsidRDefault="00F326D4" w:rsidP="0050055B">
      <w:pPr>
        <w:spacing w:after="180"/>
      </w:pPr>
      <w:r>
        <w:t xml:space="preserve">The introduction to another research paper </w:t>
      </w:r>
      <w:r>
        <w:fldChar w:fldCharType="begin"/>
      </w:r>
      <w:r>
        <w:instrText xml:space="preserve"> ADDIN EN.CITE &lt;EndNote&gt;&lt;Cite&gt;&lt;Author&gt;Cheng&lt;/Author&gt;&lt;Year&gt;2017&lt;/Year&gt;&lt;IDText&gt;Modelling students&amp;apos; visualisation of chemical reaction&lt;/IDText&gt;&lt;DisplayText&gt;(Cheng and Gilbert, 2017)&lt;/DisplayText&gt;&lt;record&gt;&lt;titles&gt;&lt;title&gt;Modelling students&amp;apos; visualisation of chemical reaction&lt;/title&gt;&lt;secondary-title&gt;International Journal of Science Education&lt;/secondary-title&gt;&lt;/titles&gt;&lt;pages&gt;1173-1193&lt;/pages&gt;&lt;number&gt;9&lt;/number&gt;&lt;contributors&gt;&lt;authors&gt;&lt;author&gt;Cheng, Maurice M. W.&lt;/author&gt;&lt;author&gt;Gilbert, John K.&lt;/author&gt;&lt;/authors&gt;&lt;/contributors&gt;&lt;added-date format="utc"&gt;1536664292&lt;/added-date&gt;&lt;ref-type name="Journal Article"&gt;17&lt;/ref-type&gt;&lt;dates&gt;&lt;year&gt;2017&lt;/year&gt;&lt;/dates&gt;&lt;rec-number&gt;19&lt;/rec-number&gt;&lt;last-updated-date format="utc"&gt;1536664359&lt;/last-updated-date&gt;&lt;volume&gt;39&lt;/volume&gt;&lt;/record&gt;&lt;/Cite&gt;&lt;/EndNote&gt;</w:instrText>
      </w:r>
      <w:r>
        <w:fldChar w:fldCharType="separate"/>
      </w:r>
      <w:r>
        <w:rPr>
          <w:noProof/>
        </w:rPr>
        <w:t>(Cheng and Gilbert, 2017)</w:t>
      </w:r>
      <w:r>
        <w:fldChar w:fldCharType="end"/>
      </w:r>
      <w:r>
        <w:t xml:space="preserve"> described the importance of ‘model-based reasoning’. Model-based reasoning requires the ability to explain physical phenomena using theoretical and unobservable entities.</w:t>
      </w:r>
    </w:p>
    <w:p w14:paraId="21BE28A4" w14:textId="0965E832" w:rsidR="00F326D4" w:rsidRDefault="00F326D4" w:rsidP="0050055B">
      <w:pPr>
        <w:spacing w:after="180"/>
      </w:pPr>
      <w:r>
        <w:t xml:space="preserve">Whilst the expert chemist can move easily between the macroscopic and sub-microscopic levels this is much more challenging for the novice student </w:t>
      </w:r>
      <w:r>
        <w:fldChar w:fldCharType="begin"/>
      </w:r>
      <w:r>
        <w:instrText xml:space="preserve"> ADDIN EN.CITE &lt;EndNote&gt;&lt;Cite&gt;&lt;Author&gt;Johnstone&lt;/Author&gt;&lt;Year&gt;1991&lt;/Year&gt;&lt;IDText&gt;Why is chemistry difficult to learn? Things are seldom what they seem.&lt;/IDText&gt;&lt;DisplayText&gt;(Johnstone, 1991)&lt;/DisplayText&gt;&lt;record&gt;&lt;titles&gt;&lt;title&gt;Why is chemistry difficult to learn? Things are seldom what they seem.&lt;/title&gt;&lt;secondary-title&gt;Journal of Computer Assisted Learning&lt;/secondary-title&gt;&lt;/titles&gt;&lt;pages&gt;75-83&lt;/pages&gt;&lt;contributors&gt;&lt;authors&gt;&lt;author&gt;Johnstone, A.H.&lt;/author&gt;&lt;/authors&gt;&lt;/contributors&gt;&lt;added-date format="utc"&gt;1532345893&lt;/added-date&gt;&lt;ref-type name="Journal Article"&gt;17&lt;/ref-type&gt;&lt;dates&gt;&lt;year&gt;1991&lt;/year&gt;&lt;/dates&gt;&lt;rec-number&gt;10&lt;/rec-number&gt;&lt;last-updated-date format="utc"&gt;1532345960&lt;/last-updated-date&gt;&lt;volume&gt;7&lt;/volume&gt;&lt;/record&gt;&lt;/Cite&gt;&lt;/EndNote&gt;</w:instrText>
      </w:r>
      <w:r>
        <w:fldChar w:fldCharType="separate"/>
      </w:r>
      <w:r>
        <w:rPr>
          <w:noProof/>
        </w:rPr>
        <w:t>(Johnstone, 1991)</w:t>
      </w:r>
      <w:r>
        <w:fldChar w:fldCharType="end"/>
      </w:r>
      <w:r>
        <w:t>.</w:t>
      </w:r>
    </w:p>
    <w:p w14:paraId="3E6942BE"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75D005A9" w14:textId="15E697EB" w:rsidR="008A7E37" w:rsidRDefault="008A7E37" w:rsidP="00402E34">
      <w:pPr>
        <w:spacing w:after="180"/>
      </w:pPr>
      <w:r w:rsidRPr="008A7E37">
        <w:t xml:space="preserve">The aim of this question is for students to draw a particle representation of the </w:t>
      </w:r>
      <w:r w:rsidR="00354A39">
        <w:t>reactants and products of a simple reaction between elements.</w:t>
      </w:r>
      <w:r w:rsidR="009E3897">
        <w:t xml:space="preserve"> You may wish to explain to students that the ability to ‘think in diagrams’ should help them to understand what happens to the atoms during a reaction.</w:t>
      </w:r>
    </w:p>
    <w:p w14:paraId="4CAAD063" w14:textId="51014F0F" w:rsidR="008A7E37" w:rsidRDefault="008A7E37" w:rsidP="00402E34">
      <w:pPr>
        <w:spacing w:after="180"/>
      </w:pPr>
      <w:r>
        <w:t xml:space="preserve">It may help students to observe the actual </w:t>
      </w:r>
      <w:r w:rsidR="00F814C3">
        <w:t>reaction to ensure they are aware</w:t>
      </w:r>
      <w:r>
        <w:t xml:space="preserve"> that both </w:t>
      </w:r>
      <w:r w:rsidR="00255EE8">
        <w:t xml:space="preserve">the </w:t>
      </w:r>
      <w:r>
        <w:t>react</w:t>
      </w:r>
      <w:r w:rsidR="00255EE8">
        <w:t>ants</w:t>
      </w:r>
      <w:r>
        <w:t xml:space="preserve"> and product are in the solid state.</w:t>
      </w:r>
    </w:p>
    <w:p w14:paraId="79D13CFD" w14:textId="0DBAF350" w:rsidR="008A7E37" w:rsidRPr="008A7E37" w:rsidRDefault="008A7E37" w:rsidP="00402E34">
      <w:pPr>
        <w:spacing w:after="180"/>
        <w:rPr>
          <w:i/>
        </w:rPr>
      </w:pPr>
      <w:r w:rsidRPr="008A7E37">
        <w:rPr>
          <w:i/>
        </w:rPr>
        <w:t>Differentiation</w:t>
      </w:r>
    </w:p>
    <w:p w14:paraId="50C6D7E0" w14:textId="7258DE9C" w:rsidR="008A7E37" w:rsidRDefault="008A7E37" w:rsidP="00402E34">
      <w:pPr>
        <w:spacing w:after="180"/>
      </w:pPr>
      <w:r w:rsidRPr="008A7E37">
        <w:t>Some students may need some support such as providing a key to show how to represent two types of atoms by using different colours.</w:t>
      </w:r>
    </w:p>
    <w:p w14:paraId="76391F74" w14:textId="32651BAA" w:rsidR="00354A39" w:rsidRPr="008A7E37" w:rsidRDefault="00354A39" w:rsidP="00402E34">
      <w:pPr>
        <w:spacing w:after="180"/>
      </w:pPr>
      <w:r>
        <w:t xml:space="preserve">Some students could be challenged further to consider quantitatively what happens to the atoms. They should recognise that if drawing a diagram to represent the reaction (rather than the individual substances) the number of atoms should stay the same. </w:t>
      </w:r>
      <w:r w:rsidR="00F814C3">
        <w:t>The idea is explored in a later key concept: CPS4.2 Conservation of mass.</w:t>
      </w:r>
    </w:p>
    <w:p w14:paraId="7EB7FFBA" w14:textId="77777777" w:rsidR="00354A39" w:rsidRDefault="00354A39" w:rsidP="00026DEC">
      <w:pPr>
        <w:spacing w:after="180"/>
        <w:rPr>
          <w:b/>
          <w:color w:val="E36C0A" w:themeColor="accent6" w:themeShade="BF"/>
          <w:sz w:val="24"/>
        </w:rPr>
      </w:pPr>
    </w:p>
    <w:p w14:paraId="1FE362BF" w14:textId="77777777" w:rsidR="00354A39" w:rsidRDefault="00354A39" w:rsidP="00026DEC">
      <w:pPr>
        <w:spacing w:after="180"/>
        <w:rPr>
          <w:b/>
          <w:color w:val="E36C0A" w:themeColor="accent6" w:themeShade="BF"/>
          <w:sz w:val="24"/>
        </w:rPr>
      </w:pPr>
    </w:p>
    <w:p w14:paraId="25078BE3" w14:textId="77777777" w:rsidR="00354A39" w:rsidRDefault="00354A39" w:rsidP="00026DEC">
      <w:pPr>
        <w:spacing w:after="180"/>
        <w:rPr>
          <w:b/>
          <w:color w:val="E36C0A" w:themeColor="accent6" w:themeShade="BF"/>
          <w:sz w:val="24"/>
        </w:rPr>
      </w:pPr>
    </w:p>
    <w:p w14:paraId="45E3F5F2" w14:textId="77777777" w:rsidR="00354A39" w:rsidRDefault="00354A39" w:rsidP="00026DEC">
      <w:pPr>
        <w:spacing w:after="180"/>
        <w:rPr>
          <w:b/>
          <w:color w:val="E36C0A" w:themeColor="accent6" w:themeShade="BF"/>
          <w:sz w:val="24"/>
        </w:rPr>
      </w:pPr>
    </w:p>
    <w:p w14:paraId="74368C92" w14:textId="40FBBAA1"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3E224AF2" w14:textId="1C01F31F" w:rsidR="00B73715" w:rsidRDefault="00F814C3" w:rsidP="00B73715">
      <w:pPr>
        <w:spacing w:after="180"/>
      </w:pPr>
      <w:r>
        <w:rPr>
          <w:noProof/>
        </w:rPr>
        <w:drawing>
          <wp:anchor distT="0" distB="0" distL="114300" distR="114300" simplePos="0" relativeHeight="251664384" behindDoc="0" locked="0" layoutInCell="1" allowOverlap="1" wp14:anchorId="1948D153" wp14:editId="1260119E">
            <wp:simplePos x="0" y="0"/>
            <wp:positionH relativeFrom="column">
              <wp:posOffset>409575</wp:posOffset>
            </wp:positionH>
            <wp:positionV relativeFrom="paragraph">
              <wp:posOffset>13335</wp:posOffset>
            </wp:positionV>
            <wp:extent cx="1212850" cy="1048385"/>
            <wp:effectExtent l="0" t="0" r="635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ron atoms.png"/>
                    <pic:cNvPicPr/>
                  </pic:nvPicPr>
                  <pic:blipFill>
                    <a:blip r:embed="rId9">
                      <a:extLst>
                        <a:ext uri="{28A0092B-C50C-407E-A947-70E740481C1C}">
                          <a14:useLocalDpi xmlns:a14="http://schemas.microsoft.com/office/drawing/2010/main" val="0"/>
                        </a:ext>
                      </a:extLst>
                    </a:blip>
                    <a:stretch>
                      <a:fillRect/>
                    </a:stretch>
                  </pic:blipFill>
                  <pic:spPr>
                    <a:xfrm>
                      <a:off x="0" y="0"/>
                      <a:ext cx="1212850" cy="1048385"/>
                    </a:xfrm>
                    <a:prstGeom prst="rect">
                      <a:avLst/>
                    </a:prstGeom>
                  </pic:spPr>
                </pic:pic>
              </a:graphicData>
            </a:graphic>
          </wp:anchor>
        </w:drawing>
      </w:r>
      <w:r w:rsidR="00B73715">
        <w:t xml:space="preserve">a </w:t>
      </w:r>
      <w:r w:rsidR="00B73715">
        <w:tab/>
      </w:r>
      <w:r w:rsidR="00B73715">
        <w:tab/>
      </w:r>
    </w:p>
    <w:p w14:paraId="272F9FB7" w14:textId="26CE982C" w:rsidR="00B73715" w:rsidRDefault="00B73715" w:rsidP="00B73715">
      <w:pPr>
        <w:spacing w:after="180"/>
      </w:pPr>
      <w:r>
        <w:rPr>
          <w:noProof/>
        </w:rPr>
        <mc:AlternateContent>
          <mc:Choice Requires="wps">
            <w:drawing>
              <wp:anchor distT="0" distB="0" distL="114300" distR="114300" simplePos="0" relativeHeight="251659264" behindDoc="0" locked="0" layoutInCell="1" allowOverlap="1" wp14:anchorId="219EBA37" wp14:editId="57DF1803">
                <wp:simplePos x="0" y="0"/>
                <wp:positionH relativeFrom="column">
                  <wp:posOffset>2009775</wp:posOffset>
                </wp:positionH>
                <wp:positionV relativeFrom="paragraph">
                  <wp:posOffset>10160</wp:posOffset>
                </wp:positionV>
                <wp:extent cx="180975" cy="171450"/>
                <wp:effectExtent l="0" t="0" r="28575" b="19050"/>
                <wp:wrapNone/>
                <wp:docPr id="10" name="Oval 10"/>
                <wp:cNvGraphicFramePr/>
                <a:graphic xmlns:a="http://schemas.openxmlformats.org/drawingml/2006/main">
                  <a:graphicData uri="http://schemas.microsoft.com/office/word/2010/wordprocessingShape">
                    <wps:wsp>
                      <wps:cNvSpPr/>
                      <wps:spPr>
                        <a:xfrm>
                          <a:off x="0" y="0"/>
                          <a:ext cx="180975" cy="171450"/>
                        </a:xfrm>
                        <a:prstGeom prst="ellipse">
                          <a:avLst/>
                        </a:prstGeom>
                        <a:solidFill>
                          <a:schemeClr val="bg1">
                            <a:lumMod val="75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FCDCFE6" id="Oval 10" o:spid="_x0000_s1026" style="position:absolute;margin-left:158.25pt;margin-top:.8pt;width:14.25pt;height:1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" fillcolor="#bfbfbf [2412]" strokecolor="black [3213]"/>
            </w:pict>
          </mc:Fallback>
        </mc:AlternateContent>
      </w:r>
      <w:r>
        <w:tab/>
      </w:r>
      <w:r>
        <w:tab/>
        <w:t>= iron atom</w:t>
      </w:r>
    </w:p>
    <w:p w14:paraId="58C62791" w14:textId="77777777" w:rsidR="00B73715" w:rsidRDefault="00B73715" w:rsidP="00B73715">
      <w:pPr>
        <w:spacing w:after="180"/>
      </w:pPr>
    </w:p>
    <w:p w14:paraId="78C15A60" w14:textId="1730058A" w:rsidR="00B73715" w:rsidRDefault="00B73715" w:rsidP="00BF6C8A">
      <w:pPr>
        <w:spacing w:after="180"/>
        <w:rPr>
          <w:b/>
          <w:color w:val="E36C0A" w:themeColor="accent6" w:themeShade="BF"/>
          <w:sz w:val="24"/>
        </w:rPr>
      </w:pPr>
    </w:p>
    <w:p w14:paraId="12E05857" w14:textId="01A1A646" w:rsidR="00B73715" w:rsidRDefault="008D2B8A" w:rsidP="00BF6C8A">
      <w:pPr>
        <w:spacing w:after="180"/>
      </w:pPr>
      <w:r>
        <w:rPr>
          <w:noProof/>
        </w:rPr>
        <w:drawing>
          <wp:anchor distT="0" distB="0" distL="114300" distR="114300" simplePos="0" relativeHeight="251665408" behindDoc="0" locked="0" layoutInCell="1" allowOverlap="1" wp14:anchorId="31747BC2" wp14:editId="721E2F8D">
            <wp:simplePos x="0" y="0"/>
            <wp:positionH relativeFrom="column">
              <wp:posOffset>401922</wp:posOffset>
            </wp:positionH>
            <wp:positionV relativeFrom="paragraph">
              <wp:posOffset>5715</wp:posOffset>
            </wp:positionV>
            <wp:extent cx="1249788" cy="1054699"/>
            <wp:effectExtent l="0" t="0" r="762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ulfur atoms.png"/>
                    <pic:cNvPicPr/>
                  </pic:nvPicPr>
                  <pic:blipFill>
                    <a:blip r:embed="rId10">
                      <a:extLst>
                        <a:ext uri="{28A0092B-C50C-407E-A947-70E740481C1C}">
                          <a14:useLocalDpi xmlns:a14="http://schemas.microsoft.com/office/drawing/2010/main" val="0"/>
                        </a:ext>
                      </a:extLst>
                    </a:blip>
                    <a:stretch>
                      <a:fillRect/>
                    </a:stretch>
                  </pic:blipFill>
                  <pic:spPr>
                    <a:xfrm>
                      <a:off x="0" y="0"/>
                      <a:ext cx="1249788" cy="1054699"/>
                    </a:xfrm>
                    <a:prstGeom prst="rect">
                      <a:avLst/>
                    </a:prstGeom>
                  </pic:spPr>
                </pic:pic>
              </a:graphicData>
            </a:graphic>
          </wp:anchor>
        </w:drawing>
      </w:r>
      <w:r w:rsidR="00B73715">
        <w:t>b</w:t>
      </w:r>
      <w:r w:rsidR="00B73715" w:rsidRPr="00B73715">
        <w:t xml:space="preserve"> </w:t>
      </w:r>
      <w:r w:rsidR="005C6D38">
        <w:tab/>
      </w:r>
    </w:p>
    <w:p w14:paraId="3A77028F" w14:textId="05937FCD" w:rsidR="005C6D38" w:rsidRPr="00B73715" w:rsidRDefault="005C6D38" w:rsidP="00BF6C8A">
      <w:pPr>
        <w:spacing w:after="180"/>
      </w:pPr>
      <w:r>
        <w:rPr>
          <w:noProof/>
        </w:rPr>
        <mc:AlternateContent>
          <mc:Choice Requires="wps">
            <w:drawing>
              <wp:anchor distT="0" distB="0" distL="114300" distR="114300" simplePos="0" relativeHeight="251662336" behindDoc="0" locked="0" layoutInCell="1" allowOverlap="1" wp14:anchorId="0919972A" wp14:editId="738AEEFF">
                <wp:simplePos x="0" y="0"/>
                <wp:positionH relativeFrom="column">
                  <wp:posOffset>2009775</wp:posOffset>
                </wp:positionH>
                <wp:positionV relativeFrom="paragraph">
                  <wp:posOffset>8890</wp:posOffset>
                </wp:positionV>
                <wp:extent cx="180975" cy="171450"/>
                <wp:effectExtent l="0" t="0" r="28575" b="19050"/>
                <wp:wrapNone/>
                <wp:docPr id="12" name="Oval 12"/>
                <wp:cNvGraphicFramePr/>
                <a:graphic xmlns:a="http://schemas.openxmlformats.org/drawingml/2006/main">
                  <a:graphicData uri="http://schemas.microsoft.com/office/word/2010/wordprocessingShape">
                    <wps:wsp>
                      <wps:cNvSpPr/>
                      <wps:spPr>
                        <a:xfrm>
                          <a:off x="0" y="0"/>
                          <a:ext cx="180975" cy="171450"/>
                        </a:xfrm>
                        <a:prstGeom prst="ellipse">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EE34CD2" id="Oval 12" o:spid="_x0000_s1026" style="position:absolute;margin-left:158.25pt;margin-top:.7pt;width:14.25pt;height:13.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" fillcolor="white [3212]" strokecolor="black [3213]"/>
            </w:pict>
          </mc:Fallback>
        </mc:AlternateContent>
      </w:r>
      <w:r>
        <w:tab/>
      </w:r>
      <w:r>
        <w:tab/>
        <w:t>= sulfur atom</w:t>
      </w:r>
      <w:r>
        <w:tab/>
      </w:r>
    </w:p>
    <w:p w14:paraId="3B8E9FA6" w14:textId="16F67542" w:rsidR="00B73715" w:rsidRDefault="00B73715" w:rsidP="00BF6C8A">
      <w:pPr>
        <w:spacing w:after="180"/>
        <w:rPr>
          <w:b/>
          <w:color w:val="E36C0A" w:themeColor="accent6" w:themeShade="BF"/>
          <w:sz w:val="24"/>
        </w:rPr>
      </w:pPr>
    </w:p>
    <w:p w14:paraId="40452BAD" w14:textId="688A02AC" w:rsidR="00B73715" w:rsidRDefault="00B73715" w:rsidP="00BF6C8A">
      <w:pPr>
        <w:spacing w:after="180"/>
        <w:rPr>
          <w:b/>
          <w:color w:val="E36C0A" w:themeColor="accent6" w:themeShade="BF"/>
          <w:sz w:val="24"/>
        </w:rPr>
      </w:pPr>
    </w:p>
    <w:p w14:paraId="536D1C9A" w14:textId="3C62313B" w:rsidR="00B73715" w:rsidRPr="005C6D38" w:rsidRDefault="008D2B8A" w:rsidP="00BF6C8A">
      <w:pPr>
        <w:spacing w:after="180"/>
      </w:pPr>
      <w:r>
        <w:rPr>
          <w:noProof/>
        </w:rPr>
        <w:drawing>
          <wp:anchor distT="0" distB="0" distL="114300" distR="114300" simplePos="0" relativeHeight="251666432" behindDoc="0" locked="0" layoutInCell="1" allowOverlap="1" wp14:anchorId="777405DE" wp14:editId="0E36120A">
            <wp:simplePos x="0" y="0"/>
            <wp:positionH relativeFrom="column">
              <wp:posOffset>415925</wp:posOffset>
            </wp:positionH>
            <wp:positionV relativeFrom="paragraph">
              <wp:posOffset>54610</wp:posOffset>
            </wp:positionV>
            <wp:extent cx="1206500" cy="1042035"/>
            <wp:effectExtent l="0" t="0" r="0" b="571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ron sulfide.png"/>
                    <pic:cNvPicPr/>
                  </pic:nvPicPr>
                  <pic:blipFill>
                    <a:blip r:embed="rId11">
                      <a:extLst>
                        <a:ext uri="{28A0092B-C50C-407E-A947-70E740481C1C}">
                          <a14:useLocalDpi xmlns:a14="http://schemas.microsoft.com/office/drawing/2010/main" val="0"/>
                        </a:ext>
                      </a:extLst>
                    </a:blip>
                    <a:stretch>
                      <a:fillRect/>
                    </a:stretch>
                  </pic:blipFill>
                  <pic:spPr>
                    <a:xfrm>
                      <a:off x="0" y="0"/>
                      <a:ext cx="1206500" cy="1042035"/>
                    </a:xfrm>
                    <a:prstGeom prst="rect">
                      <a:avLst/>
                    </a:prstGeom>
                  </pic:spPr>
                </pic:pic>
              </a:graphicData>
            </a:graphic>
          </wp:anchor>
        </w:drawing>
      </w:r>
      <w:r w:rsidR="005C6D38">
        <w:t xml:space="preserve">c </w:t>
      </w:r>
    </w:p>
    <w:p w14:paraId="777E8656" w14:textId="77777777" w:rsidR="005C6D38" w:rsidRDefault="005C6D38" w:rsidP="00BF6C8A">
      <w:pPr>
        <w:spacing w:after="180"/>
        <w:rPr>
          <w:b/>
          <w:color w:val="E36C0A" w:themeColor="accent6" w:themeShade="BF"/>
          <w:sz w:val="24"/>
        </w:rPr>
      </w:pPr>
    </w:p>
    <w:p w14:paraId="7C71C2B7" w14:textId="77777777" w:rsidR="005C6D38" w:rsidRDefault="005C6D38" w:rsidP="00BF6C8A">
      <w:pPr>
        <w:spacing w:after="180"/>
        <w:rPr>
          <w:b/>
          <w:color w:val="E36C0A" w:themeColor="accent6" w:themeShade="BF"/>
          <w:sz w:val="24"/>
        </w:rPr>
      </w:pPr>
    </w:p>
    <w:p w14:paraId="758F2734" w14:textId="77777777" w:rsidR="008D2B8A" w:rsidRDefault="008D2B8A" w:rsidP="00BF6C8A">
      <w:pPr>
        <w:spacing w:after="180"/>
        <w:rPr>
          <w:b/>
          <w:color w:val="E36C0A" w:themeColor="accent6" w:themeShade="BF"/>
          <w:sz w:val="24"/>
        </w:rPr>
      </w:pPr>
    </w:p>
    <w:p w14:paraId="1D37FB2F" w14:textId="3347E09D"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39794366" w14:textId="762CBD47" w:rsidR="00255EE8" w:rsidRPr="00255EE8" w:rsidRDefault="00255EE8" w:rsidP="006A4440">
      <w:pPr>
        <w:spacing w:after="180"/>
      </w:pPr>
      <w:r w:rsidRPr="00255EE8">
        <w:t>A student who has difficulty in drawing particle representations of the reactants may not be making links with their understanding of the particle model. They need to extend the conventional representation of a substance in the solid state to make clear that iron and sulfur are made of different types of atom.</w:t>
      </w:r>
    </w:p>
    <w:p w14:paraId="42253EAF" w14:textId="4B5EBED5" w:rsidR="00255EE8" w:rsidRDefault="004F039C" w:rsidP="006A4440">
      <w:pPr>
        <w:spacing w:after="180"/>
      </w:pPr>
      <w:r w:rsidRPr="00255EE8">
        <w:t xml:space="preserve">If students have </w:t>
      </w:r>
      <w:r w:rsidR="001E4950" w:rsidRPr="00255EE8">
        <w:t>misunderstanding</w:t>
      </w:r>
      <w:r w:rsidRPr="00255EE8">
        <w:t xml:space="preserve">s about </w:t>
      </w:r>
      <w:r w:rsidR="009120D9" w:rsidRPr="00255EE8">
        <w:t xml:space="preserve">how to represent </w:t>
      </w:r>
      <w:r w:rsidR="00354A39" w:rsidRPr="00255EE8">
        <w:t>compounds,</w:t>
      </w:r>
      <w:r w:rsidR="009120D9" w:rsidRPr="00255EE8">
        <w:t xml:space="preserve"> then</w:t>
      </w:r>
      <w:r w:rsidRPr="00255EE8">
        <w:t xml:space="preserve"> </w:t>
      </w:r>
      <w:r w:rsidR="00255EE8" w:rsidRPr="00255EE8">
        <w:t>they may benefit from revisiting previous work on elements and compounds. See key concept 2.1: Atoms and molecules.</w:t>
      </w:r>
    </w:p>
    <w:p w14:paraId="705D39C0"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437D697F" w14:textId="6C2BD042" w:rsidR="00D278E8" w:rsidRDefault="00D278E8" w:rsidP="00E172C6">
      <w:pPr>
        <w:spacing w:after="180"/>
      </w:pPr>
      <w:r>
        <w:t xml:space="preserve">Developed </w:t>
      </w:r>
      <w:r w:rsidR="0015356E">
        <w:t>by</w:t>
      </w:r>
      <w:r w:rsidR="00A54D47">
        <w:t xml:space="preserve"> Helen Harden</w:t>
      </w:r>
      <w:r w:rsidR="0015356E">
        <w:t xml:space="preserve"> (</w:t>
      </w:r>
      <w:r w:rsidR="0015356E" w:rsidRPr="005C6D38">
        <w:t>UYSEG)</w:t>
      </w:r>
      <w:r w:rsidR="0089449B" w:rsidRPr="005C6D38">
        <w:t xml:space="preserve"> from an idea by Maurice Cheng (University off Hong Kong) and John Gilbert (King’s College London).</w:t>
      </w:r>
    </w:p>
    <w:p w14:paraId="3D44F299" w14:textId="04669AC2" w:rsidR="00CC78A5" w:rsidRDefault="00D278E8" w:rsidP="00E172C6">
      <w:pPr>
        <w:spacing w:after="180"/>
      </w:pPr>
      <w:r w:rsidRPr="008A7E37">
        <w:t xml:space="preserve">Images: </w:t>
      </w:r>
      <w:r w:rsidR="008A7E37" w:rsidRPr="008A7E37">
        <w:t>Helen Harden</w:t>
      </w:r>
    </w:p>
    <w:p w14:paraId="72786730" w14:textId="6F4BAE5C" w:rsidR="00F326D4" w:rsidRDefault="003117F6" w:rsidP="00E24309">
      <w:pPr>
        <w:spacing w:after="180"/>
        <w:rPr>
          <w:b/>
          <w:color w:val="E36C0A" w:themeColor="accent6" w:themeShade="BF"/>
          <w:sz w:val="24"/>
        </w:rPr>
      </w:pPr>
      <w:r w:rsidRPr="00323334">
        <w:rPr>
          <w:b/>
          <w:color w:val="E36C0A" w:themeColor="accent6" w:themeShade="BF"/>
          <w:sz w:val="24"/>
        </w:rPr>
        <w:t>References</w:t>
      </w:r>
    </w:p>
    <w:p w14:paraId="67D917D7" w14:textId="77777777" w:rsidR="00F326D4" w:rsidRPr="00F326D4" w:rsidRDefault="00F326D4" w:rsidP="00F326D4">
      <w:pPr>
        <w:pStyle w:val="EndNoteBibliography"/>
      </w:pPr>
      <w:r>
        <w:rPr>
          <w:b/>
          <w:color w:val="E36C0A" w:themeColor="accent6" w:themeShade="BF"/>
          <w:sz w:val="24"/>
        </w:rPr>
        <w:fldChar w:fldCharType="begin"/>
      </w:r>
      <w:r>
        <w:rPr>
          <w:b/>
          <w:color w:val="E36C0A" w:themeColor="accent6" w:themeShade="BF"/>
          <w:sz w:val="24"/>
        </w:rPr>
        <w:instrText xml:space="preserve"> ADDIN EN.REFLIST </w:instrText>
      </w:r>
      <w:r>
        <w:rPr>
          <w:b/>
          <w:color w:val="E36C0A" w:themeColor="accent6" w:themeShade="BF"/>
          <w:sz w:val="24"/>
        </w:rPr>
        <w:fldChar w:fldCharType="separate"/>
      </w:r>
      <w:r w:rsidRPr="00F326D4">
        <w:t xml:space="preserve">Cheng, M. M. W. and Gilbert, J. K. (2017). Modelling students' visualisation of chemical reaction. </w:t>
      </w:r>
      <w:r w:rsidRPr="00F326D4">
        <w:rPr>
          <w:i/>
        </w:rPr>
        <w:t>International Journal of Science Education,</w:t>
      </w:r>
      <w:r w:rsidRPr="00F326D4">
        <w:t xml:space="preserve"> 39(9)</w:t>
      </w:r>
      <w:r w:rsidRPr="00F326D4">
        <w:rPr>
          <w:b/>
        </w:rPr>
        <w:t>,</w:t>
      </w:r>
      <w:r w:rsidRPr="00F326D4">
        <w:t xml:space="preserve"> 1173-1193.</w:t>
      </w:r>
    </w:p>
    <w:p w14:paraId="05F9CB43" w14:textId="77777777" w:rsidR="00F326D4" w:rsidRPr="00F326D4" w:rsidRDefault="00F326D4" w:rsidP="00F326D4">
      <w:pPr>
        <w:pStyle w:val="EndNoteBibliography"/>
      </w:pPr>
      <w:r w:rsidRPr="00F326D4">
        <w:t xml:space="preserve">Johnstone, A. H. (1991). Why is chemistry difficult to learn? Things are seldom what they seem. </w:t>
      </w:r>
      <w:r w:rsidRPr="00F326D4">
        <w:rPr>
          <w:i/>
        </w:rPr>
        <w:t>Journal of Computer Assisted Learning,</w:t>
      </w:r>
      <w:r w:rsidRPr="00F326D4">
        <w:t xml:space="preserve"> 7</w:t>
      </w:r>
      <w:r w:rsidRPr="00F326D4">
        <w:rPr>
          <w:b/>
        </w:rPr>
        <w:t>,</w:t>
      </w:r>
      <w:r w:rsidRPr="00F326D4">
        <w:t xml:space="preserve"> 75-83.</w:t>
      </w:r>
    </w:p>
    <w:p w14:paraId="1504D0B7" w14:textId="77777777" w:rsidR="00F326D4" w:rsidRPr="00F326D4" w:rsidRDefault="00F326D4" w:rsidP="00F326D4">
      <w:pPr>
        <w:pStyle w:val="EndNoteBibliography"/>
      </w:pPr>
      <w:r w:rsidRPr="00F326D4">
        <w:t xml:space="preserve">Kern, A. L., et al. (2010). A qualitative report of the ways high school chemistry students attempt to represent a chemical reaction at the atomic/molecular level. </w:t>
      </w:r>
      <w:r w:rsidRPr="00F326D4">
        <w:rPr>
          <w:i/>
        </w:rPr>
        <w:t>Chemistry Education Research and Practice,</w:t>
      </w:r>
      <w:r w:rsidRPr="00F326D4">
        <w:t xml:space="preserve"> 11</w:t>
      </w:r>
      <w:r w:rsidRPr="00F326D4">
        <w:rPr>
          <w:b/>
        </w:rPr>
        <w:t>,</w:t>
      </w:r>
      <w:r w:rsidRPr="00F326D4">
        <w:t xml:space="preserve"> 165-172.</w:t>
      </w:r>
    </w:p>
    <w:p w14:paraId="191B99AC" w14:textId="61264A7F" w:rsidR="00B46FF9" w:rsidRPr="001E4950" w:rsidRDefault="00F326D4" w:rsidP="00E24309">
      <w:pPr>
        <w:spacing w:after="180"/>
        <w:rPr>
          <w:b/>
          <w:color w:val="E36C0A" w:themeColor="accent6" w:themeShade="BF"/>
          <w:sz w:val="24"/>
        </w:rPr>
      </w:pPr>
      <w:r>
        <w:rPr>
          <w:b/>
          <w:color w:val="E36C0A" w:themeColor="accent6" w:themeShade="BF"/>
          <w:sz w:val="24"/>
        </w:rPr>
        <w:fldChar w:fldCharType="end"/>
      </w:r>
    </w:p>
    <w:sectPr w:rsidR="00B46FF9" w:rsidRPr="001E4950"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B47826" w14:textId="77777777" w:rsidR="00A260FA" w:rsidRDefault="00A260FA" w:rsidP="000B473B">
      <w:r>
        <w:separator/>
      </w:r>
    </w:p>
  </w:endnote>
  <w:endnote w:type="continuationSeparator" w:id="0">
    <w:p w14:paraId="776C047A" w14:textId="77777777" w:rsidR="00A260FA" w:rsidRDefault="00A260F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2D048"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2389F464" wp14:editId="7E7176A4">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ED3C2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E4950">
      <w:rPr>
        <w:noProof/>
      </w:rPr>
      <w:t>3</w:t>
    </w:r>
    <w:r>
      <w:rPr>
        <w:noProof/>
      </w:rPr>
      <w:fldChar w:fldCharType="end"/>
    </w:r>
  </w:p>
  <w:p w14:paraId="731D2049"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1460B">
      <w:rPr>
        <w:sz w:val="16"/>
        <w:szCs w:val="16"/>
      </w:rPr>
      <w:t>question</w:t>
    </w:r>
    <w:r>
      <w:rPr>
        <w:sz w:val="16"/>
        <w:szCs w:val="16"/>
      </w:rPr>
      <w:t xml:space="preserve"> may have been edited. Download the original from </w:t>
    </w:r>
    <w:r w:rsidRPr="00ED4562">
      <w:rPr>
        <w:b/>
        <w:sz w:val="16"/>
        <w:szCs w:val="16"/>
      </w:rPr>
      <w:t>www.BestEvidenceScienceTeaching.org</w:t>
    </w:r>
  </w:p>
  <w:p w14:paraId="3F6C9152"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C3E66A" w14:textId="77777777" w:rsidR="00A260FA" w:rsidRDefault="00A260FA" w:rsidP="000B473B">
      <w:r>
        <w:separator/>
      </w:r>
    </w:p>
  </w:footnote>
  <w:footnote w:type="continuationSeparator" w:id="0">
    <w:p w14:paraId="748F325A" w14:textId="77777777" w:rsidR="00A260FA" w:rsidRDefault="00A260F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081D57"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6FB6BAE4" wp14:editId="502CBE74">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5F934B45" wp14:editId="30BB7BD2">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D3C74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7F21F"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61E17B5F" wp14:editId="2246C6DA">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10475CC9" wp14:editId="1CBF385B">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D20B5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54D47"/>
    <w:rsid w:val="00015578"/>
    <w:rsid w:val="00024731"/>
    <w:rsid w:val="00026DEC"/>
    <w:rsid w:val="000505CA"/>
    <w:rsid w:val="0007651D"/>
    <w:rsid w:val="0009089A"/>
    <w:rsid w:val="000947E2"/>
    <w:rsid w:val="00095E04"/>
    <w:rsid w:val="000B45C3"/>
    <w:rsid w:val="000B473B"/>
    <w:rsid w:val="000D0E89"/>
    <w:rsid w:val="000E2689"/>
    <w:rsid w:val="00142613"/>
    <w:rsid w:val="0014369D"/>
    <w:rsid w:val="00144DA7"/>
    <w:rsid w:val="0015356E"/>
    <w:rsid w:val="00161D3F"/>
    <w:rsid w:val="00181935"/>
    <w:rsid w:val="001915D4"/>
    <w:rsid w:val="001A1FED"/>
    <w:rsid w:val="001A40E2"/>
    <w:rsid w:val="001C4805"/>
    <w:rsid w:val="001E4950"/>
    <w:rsid w:val="00201AC2"/>
    <w:rsid w:val="00214608"/>
    <w:rsid w:val="0021607B"/>
    <w:rsid w:val="002178AC"/>
    <w:rsid w:val="0022547C"/>
    <w:rsid w:val="00242736"/>
    <w:rsid w:val="0025410A"/>
    <w:rsid w:val="00255EE8"/>
    <w:rsid w:val="0027553E"/>
    <w:rsid w:val="0028012F"/>
    <w:rsid w:val="002828DF"/>
    <w:rsid w:val="00287876"/>
    <w:rsid w:val="00292C53"/>
    <w:rsid w:val="00294E22"/>
    <w:rsid w:val="002C22EA"/>
    <w:rsid w:val="002C59BA"/>
    <w:rsid w:val="002D5FD1"/>
    <w:rsid w:val="00301AA9"/>
    <w:rsid w:val="003117F6"/>
    <w:rsid w:val="00323334"/>
    <w:rsid w:val="003533B8"/>
    <w:rsid w:val="00354A39"/>
    <w:rsid w:val="003752BE"/>
    <w:rsid w:val="003A346A"/>
    <w:rsid w:val="003B2917"/>
    <w:rsid w:val="003B541B"/>
    <w:rsid w:val="003E2B2F"/>
    <w:rsid w:val="003E6046"/>
    <w:rsid w:val="003F16F9"/>
    <w:rsid w:val="00402E34"/>
    <w:rsid w:val="00405B69"/>
    <w:rsid w:val="00430C1F"/>
    <w:rsid w:val="00442595"/>
    <w:rsid w:val="0045323E"/>
    <w:rsid w:val="00485A85"/>
    <w:rsid w:val="004B0EE1"/>
    <w:rsid w:val="004C5D20"/>
    <w:rsid w:val="004D0D83"/>
    <w:rsid w:val="004E1DF1"/>
    <w:rsid w:val="004E5592"/>
    <w:rsid w:val="004F039C"/>
    <w:rsid w:val="0050055B"/>
    <w:rsid w:val="00524710"/>
    <w:rsid w:val="00555342"/>
    <w:rsid w:val="005560E2"/>
    <w:rsid w:val="00567D11"/>
    <w:rsid w:val="005A452E"/>
    <w:rsid w:val="005A6EE7"/>
    <w:rsid w:val="005C6D38"/>
    <w:rsid w:val="005F1A7B"/>
    <w:rsid w:val="006355D8"/>
    <w:rsid w:val="00642ECD"/>
    <w:rsid w:val="006502A0"/>
    <w:rsid w:val="006772F5"/>
    <w:rsid w:val="00695159"/>
    <w:rsid w:val="006A431E"/>
    <w:rsid w:val="006A4440"/>
    <w:rsid w:val="006B0615"/>
    <w:rsid w:val="006D166B"/>
    <w:rsid w:val="006F3279"/>
    <w:rsid w:val="006F6C6B"/>
    <w:rsid w:val="00704AEE"/>
    <w:rsid w:val="00722F9A"/>
    <w:rsid w:val="00754539"/>
    <w:rsid w:val="00781BC6"/>
    <w:rsid w:val="007A3C86"/>
    <w:rsid w:val="007A683E"/>
    <w:rsid w:val="007A748B"/>
    <w:rsid w:val="007C26E1"/>
    <w:rsid w:val="007D1D65"/>
    <w:rsid w:val="007E0A9E"/>
    <w:rsid w:val="007E5309"/>
    <w:rsid w:val="007F5D5D"/>
    <w:rsid w:val="00800DE1"/>
    <w:rsid w:val="00813F47"/>
    <w:rsid w:val="008450D6"/>
    <w:rsid w:val="00856FCA"/>
    <w:rsid w:val="00873B8C"/>
    <w:rsid w:val="00880E3B"/>
    <w:rsid w:val="00893F90"/>
    <w:rsid w:val="0089449B"/>
    <w:rsid w:val="008A405F"/>
    <w:rsid w:val="008A7E37"/>
    <w:rsid w:val="008C7F34"/>
    <w:rsid w:val="008D2B8A"/>
    <w:rsid w:val="008E580C"/>
    <w:rsid w:val="0090047A"/>
    <w:rsid w:val="009120D9"/>
    <w:rsid w:val="00925026"/>
    <w:rsid w:val="00931264"/>
    <w:rsid w:val="00942A4B"/>
    <w:rsid w:val="00961D59"/>
    <w:rsid w:val="009B2CE4"/>
    <w:rsid w:val="009B2D55"/>
    <w:rsid w:val="009C0343"/>
    <w:rsid w:val="009E0D11"/>
    <w:rsid w:val="009E3897"/>
    <w:rsid w:val="00A02D2E"/>
    <w:rsid w:val="00A24A16"/>
    <w:rsid w:val="00A260FA"/>
    <w:rsid w:val="00A37D14"/>
    <w:rsid w:val="00A42C0B"/>
    <w:rsid w:val="00A54D47"/>
    <w:rsid w:val="00A6111E"/>
    <w:rsid w:val="00A6168B"/>
    <w:rsid w:val="00A62028"/>
    <w:rsid w:val="00AA6236"/>
    <w:rsid w:val="00AB6AE7"/>
    <w:rsid w:val="00AD21F5"/>
    <w:rsid w:val="00B06225"/>
    <w:rsid w:val="00B23C7A"/>
    <w:rsid w:val="00B30147"/>
    <w:rsid w:val="00B305F5"/>
    <w:rsid w:val="00B46FF9"/>
    <w:rsid w:val="00B47E1D"/>
    <w:rsid w:val="00B73715"/>
    <w:rsid w:val="00B75483"/>
    <w:rsid w:val="00BA7952"/>
    <w:rsid w:val="00BB44B4"/>
    <w:rsid w:val="00BF0BBF"/>
    <w:rsid w:val="00BF6C8A"/>
    <w:rsid w:val="00C05571"/>
    <w:rsid w:val="00C1460B"/>
    <w:rsid w:val="00C246CE"/>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883"/>
    <w:rsid w:val="00DC4A4E"/>
    <w:rsid w:val="00DD1874"/>
    <w:rsid w:val="00DD63BD"/>
    <w:rsid w:val="00DF05DB"/>
    <w:rsid w:val="00DF7E20"/>
    <w:rsid w:val="00E172C6"/>
    <w:rsid w:val="00E24309"/>
    <w:rsid w:val="00E53D82"/>
    <w:rsid w:val="00E9330A"/>
    <w:rsid w:val="00EE5EB5"/>
    <w:rsid w:val="00EE6B97"/>
    <w:rsid w:val="00F12C3B"/>
    <w:rsid w:val="00F26884"/>
    <w:rsid w:val="00F326D4"/>
    <w:rsid w:val="00F72ECC"/>
    <w:rsid w:val="00F814C3"/>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53768D"/>
  <w15:docId w15:val="{6AD04E45-1B5B-48A5-8231-928EF50BF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F326D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326D4"/>
    <w:rPr>
      <w:rFonts w:ascii="Calibri" w:hAnsi="Calibri" w:cs="Calibri"/>
      <w:noProof/>
      <w:lang w:val="en-US"/>
    </w:rPr>
  </w:style>
  <w:style w:type="paragraph" w:customStyle="1" w:styleId="EndNoteBibliography">
    <w:name w:val="EndNote Bibliography"/>
    <w:basedOn w:val="Normal"/>
    <w:link w:val="EndNoteBibliographyChar"/>
    <w:rsid w:val="00F326D4"/>
    <w:rPr>
      <w:rFonts w:ascii="Calibri" w:hAnsi="Calibri" w:cs="Calibri"/>
      <w:noProof/>
      <w:lang w:val="en-US"/>
    </w:rPr>
  </w:style>
  <w:style w:type="character" w:customStyle="1" w:styleId="EndNoteBibliographyChar">
    <w:name w:val="EndNote Bibliography Char"/>
    <w:basedOn w:val="DefaultParagraphFont"/>
    <w:link w:val="EndNoteBibliography"/>
    <w:rsid w:val="00F326D4"/>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Template>
  <TotalTime>179</TotalTime>
  <Pages>3</Pages>
  <Words>927</Words>
  <Characters>5284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9</cp:revision>
  <cp:lastPrinted>2017-02-24T16:20:00Z</cp:lastPrinted>
  <dcterms:created xsi:type="dcterms:W3CDTF">2018-09-25T10:45:00Z</dcterms:created>
  <dcterms:modified xsi:type="dcterms:W3CDTF">2018-11-27T12:05:00Z</dcterms:modified>
</cp:coreProperties>
</file>